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73" w:rsidRPr="008162BD" w:rsidRDefault="007D30FF" w:rsidP="008162BD">
      <w:pPr>
        <w:keepNext/>
        <w:keepLines/>
        <w:spacing w:before="240" w:line="259" w:lineRule="auto"/>
        <w:outlineLvl w:val="0"/>
        <w:rPr>
          <w:rFonts w:ascii="Calibri Light" w:eastAsia="Times New Roman" w:hAnsi="Calibri Light" w:cs="Times New Roman"/>
          <w:color w:val="2E74B5"/>
          <w:sz w:val="32"/>
          <w:szCs w:val="32"/>
          <w:u w:val="single"/>
          <w:lang w:val="en-US" w:eastAsia="en-US"/>
        </w:rPr>
      </w:pPr>
      <w:r w:rsidRPr="008162BD">
        <w:rPr>
          <w:rFonts w:ascii="Calibri Light" w:eastAsia="Times New Roman" w:hAnsi="Calibri Light" w:cs="Times New Roman"/>
          <w:b/>
          <w:color w:val="2E74B5"/>
          <w:sz w:val="32"/>
          <w:szCs w:val="32"/>
          <w:u w:val="single"/>
          <w:lang w:val="en-US" w:eastAsia="en-US"/>
        </w:rPr>
        <w:t>Session Notes for Plenary I</w:t>
      </w:r>
      <w:r w:rsidR="008162BD" w:rsidRPr="008162BD">
        <w:rPr>
          <w:rFonts w:ascii="Calibri Light" w:eastAsia="Times New Roman" w:hAnsi="Calibri Light" w:cs="Times New Roman"/>
          <w:b/>
          <w:color w:val="2E74B5"/>
          <w:sz w:val="32"/>
          <w:szCs w:val="32"/>
          <w:u w:val="single"/>
          <w:lang w:val="en-US" w:eastAsia="en-US"/>
        </w:rPr>
        <w:t>I</w:t>
      </w:r>
      <w:r w:rsidRPr="008162BD">
        <w:rPr>
          <w:rFonts w:ascii="Calibri Light" w:eastAsia="Times New Roman" w:hAnsi="Calibri Light" w:cs="Times New Roman"/>
          <w:b/>
          <w:color w:val="2E74B5"/>
          <w:sz w:val="32"/>
          <w:szCs w:val="32"/>
          <w:u w:val="single"/>
          <w:lang w:val="en-US" w:eastAsia="en-US"/>
        </w:rPr>
        <w:t xml:space="preserve">: </w:t>
      </w:r>
      <w:r w:rsidR="008162BD" w:rsidRPr="008162BD">
        <w:rPr>
          <w:rFonts w:ascii="Calibri Light" w:eastAsia="Times New Roman" w:hAnsi="Calibri Light" w:cs="Times New Roman"/>
          <w:color w:val="2E74B5"/>
          <w:sz w:val="32"/>
          <w:szCs w:val="32"/>
          <w:u w:val="single"/>
          <w:lang w:val="en-US" w:eastAsia="en-US"/>
        </w:rPr>
        <w:t>Environmental Regulation, Carbon Pricing and Economic Competitiveness</w:t>
      </w:r>
    </w:p>
    <w:p w:rsidR="008F1673" w:rsidRPr="008F1673" w:rsidRDefault="008F1673" w:rsidP="008F1673">
      <w:pPr>
        <w:spacing w:after="160" w:line="259" w:lineRule="auto"/>
        <w:rPr>
          <w:rFonts w:ascii="Calibri" w:eastAsia="Calibri" w:hAnsi="Calibri" w:cs="Times New Roman"/>
          <w:lang w:val="en-US" w:eastAsia="en-US"/>
        </w:rPr>
      </w:pPr>
    </w:p>
    <w:p w:rsidR="008F1673" w:rsidRPr="008F1673" w:rsidRDefault="008F1673" w:rsidP="008F1673">
      <w:pPr>
        <w:keepNext/>
        <w:keepLines/>
        <w:numPr>
          <w:ilvl w:val="0"/>
          <w:numId w:val="2"/>
        </w:numPr>
        <w:spacing w:before="40" w:after="160" w:line="259" w:lineRule="auto"/>
        <w:outlineLvl w:val="1"/>
        <w:rPr>
          <w:rFonts w:ascii="Calibri Light" w:eastAsia="Times New Roman" w:hAnsi="Calibri Light" w:cs="Times New Roman"/>
          <w:color w:val="2E74B5"/>
          <w:sz w:val="26"/>
          <w:szCs w:val="26"/>
          <w:lang w:val="en-US" w:eastAsia="en-US"/>
        </w:rPr>
      </w:pPr>
      <w:r w:rsidRPr="008F1673">
        <w:rPr>
          <w:rFonts w:ascii="Calibri Light" w:eastAsia="Times New Roman" w:hAnsi="Calibri Light" w:cs="Times New Roman"/>
          <w:color w:val="2E74B5"/>
          <w:sz w:val="26"/>
          <w:szCs w:val="26"/>
          <w:lang w:val="en-US" w:eastAsia="en-US"/>
        </w:rPr>
        <w:t>Context of Discussion</w:t>
      </w:r>
    </w:p>
    <w:p w:rsidR="008708E5" w:rsidRPr="007B5391" w:rsidRDefault="00C1469B" w:rsidP="007B5391">
      <w:pPr>
        <w:spacing w:after="160" w:line="259" w:lineRule="auto"/>
        <w:jc w:val="both"/>
        <w:rPr>
          <w:rFonts w:ascii="Calibri" w:eastAsia="Calibri" w:hAnsi="Calibri" w:cs="Times New Roman"/>
          <w:lang w:val="en-US" w:eastAsia="en-US"/>
        </w:rPr>
      </w:pPr>
      <w:r w:rsidRPr="007B5391">
        <w:rPr>
          <w:rFonts w:ascii="Calibri" w:eastAsia="Calibri" w:hAnsi="Calibri" w:cs="Times New Roman" w:hint="eastAsia"/>
          <w:lang w:val="en-US" w:eastAsia="en-US"/>
        </w:rPr>
        <w:t>This sessio</w:t>
      </w:r>
      <w:r w:rsidRPr="007B5391">
        <w:rPr>
          <w:rFonts w:ascii="Calibri" w:eastAsia="Calibri" w:hAnsi="Calibri" w:cs="Times New Roman"/>
          <w:lang w:val="en-US" w:eastAsia="en-US"/>
        </w:rPr>
        <w:t xml:space="preserve">n provided a brief literature review of the important relationship between environmental regulation and competitiveness, and </w:t>
      </w:r>
      <w:r w:rsidR="008708E5" w:rsidRPr="007B5391">
        <w:rPr>
          <w:rFonts w:ascii="Calibri" w:eastAsia="Calibri" w:hAnsi="Calibri" w:cs="Times New Roman"/>
          <w:lang w:val="en-US" w:eastAsia="en-US"/>
        </w:rPr>
        <w:t>the</w:t>
      </w:r>
      <w:r w:rsidRPr="007B5391">
        <w:rPr>
          <w:rFonts w:ascii="Calibri" w:eastAsia="Calibri" w:hAnsi="Calibri" w:cs="Times New Roman"/>
          <w:lang w:val="en-US" w:eastAsia="en-US"/>
        </w:rPr>
        <w:t xml:space="preserve"> presenter</w:t>
      </w:r>
      <w:r w:rsidR="008708E5" w:rsidRPr="007B5391">
        <w:rPr>
          <w:rFonts w:ascii="Calibri" w:eastAsia="Calibri" w:hAnsi="Calibri" w:cs="Times New Roman"/>
          <w:lang w:val="en-US" w:eastAsia="en-US"/>
        </w:rPr>
        <w:t>s</w:t>
      </w:r>
      <w:r w:rsidRPr="007B5391">
        <w:rPr>
          <w:rFonts w:ascii="Calibri" w:eastAsia="Calibri" w:hAnsi="Calibri" w:cs="Times New Roman"/>
          <w:lang w:val="en-US" w:eastAsia="en-US"/>
        </w:rPr>
        <w:t xml:space="preserve"> discussed the findings from </w:t>
      </w:r>
      <w:r w:rsidR="008708E5" w:rsidRPr="007B5391">
        <w:rPr>
          <w:rFonts w:ascii="Calibri" w:eastAsia="Calibri" w:hAnsi="Calibri" w:cs="Times New Roman"/>
          <w:lang w:val="en-US" w:eastAsia="en-US"/>
        </w:rPr>
        <w:t>their</w:t>
      </w:r>
      <w:r w:rsidRPr="007B5391">
        <w:rPr>
          <w:rFonts w:ascii="Calibri" w:eastAsia="Calibri" w:hAnsi="Calibri" w:cs="Times New Roman"/>
          <w:lang w:val="en-US" w:eastAsia="en-US"/>
        </w:rPr>
        <w:t xml:space="preserve"> recent paper</w:t>
      </w:r>
      <w:r w:rsidR="008708E5" w:rsidRPr="007B5391">
        <w:rPr>
          <w:rFonts w:ascii="Calibri" w:eastAsia="Calibri" w:hAnsi="Calibri" w:cs="Times New Roman"/>
          <w:lang w:val="en-US" w:eastAsia="en-US"/>
        </w:rPr>
        <w:t>s</w:t>
      </w:r>
      <w:r w:rsidRPr="007B5391">
        <w:rPr>
          <w:rFonts w:ascii="Calibri" w:eastAsia="Calibri" w:hAnsi="Calibri" w:cs="Times New Roman"/>
          <w:lang w:val="en-US" w:eastAsia="en-US"/>
        </w:rPr>
        <w:t xml:space="preserve"> on the topic. </w:t>
      </w:r>
    </w:p>
    <w:p w:rsidR="008162BD" w:rsidRDefault="008708E5" w:rsidP="007B5391">
      <w:pPr>
        <w:spacing w:after="160" w:line="259" w:lineRule="auto"/>
        <w:jc w:val="both"/>
        <w:rPr>
          <w:rFonts w:ascii="Calibri" w:eastAsia="Calibri" w:hAnsi="Calibri" w:cs="Times New Roman"/>
          <w:lang w:val="en-US" w:eastAsia="en-US"/>
        </w:rPr>
      </w:pPr>
      <w:r w:rsidRPr="007B5391">
        <w:rPr>
          <w:rFonts w:ascii="Calibri" w:eastAsia="Calibri" w:hAnsi="Calibri" w:cs="Times New Roman"/>
          <w:lang w:val="en-US" w:eastAsia="en-US"/>
        </w:rPr>
        <w:t>In the literature, there seem to be two ways to investigate the competitiveness impacts, a direct and an indirect</w:t>
      </w:r>
      <w:r w:rsidR="00A02360" w:rsidRPr="007B5391">
        <w:rPr>
          <w:rFonts w:ascii="Calibri" w:eastAsia="Calibri" w:hAnsi="Calibri" w:cs="Times New Roman"/>
          <w:lang w:val="en-US" w:eastAsia="en-US"/>
        </w:rPr>
        <w:t xml:space="preserve"> approach</w:t>
      </w:r>
      <w:r w:rsidRPr="007B5391">
        <w:rPr>
          <w:rFonts w:ascii="Calibri" w:eastAsia="Calibri" w:hAnsi="Calibri" w:cs="Times New Roman"/>
          <w:lang w:val="en-US" w:eastAsia="en-US"/>
        </w:rPr>
        <w:t xml:space="preserve">. The direct approach is to investigate the ex-post effect of an actual policy while the indirect approach is to use the historical data on energy prices to predict or infer the impact of a policy. The </w:t>
      </w:r>
      <w:r w:rsidR="008162BD">
        <w:rPr>
          <w:rFonts w:ascii="Calibri" w:eastAsia="Calibri" w:hAnsi="Calibri" w:cs="Times New Roman"/>
          <w:lang w:val="en-US" w:eastAsia="en-US"/>
        </w:rPr>
        <w:t xml:space="preserve">first portion of the session presented </w:t>
      </w:r>
      <w:r w:rsidRPr="007B5391">
        <w:rPr>
          <w:rFonts w:ascii="Calibri" w:eastAsia="Calibri" w:hAnsi="Calibri" w:cs="Times New Roman"/>
          <w:lang w:val="en-US" w:eastAsia="en-US"/>
        </w:rPr>
        <w:t>empirical results using the direct approach</w:t>
      </w:r>
      <w:r w:rsidR="008162BD">
        <w:rPr>
          <w:rFonts w:ascii="Calibri" w:eastAsia="Calibri" w:hAnsi="Calibri" w:cs="Times New Roman"/>
          <w:lang w:val="en-US" w:eastAsia="en-US"/>
        </w:rPr>
        <w:t xml:space="preserve">, while the second part of the session presented </w:t>
      </w:r>
      <w:r w:rsidRPr="007B5391">
        <w:rPr>
          <w:rFonts w:ascii="Calibri" w:eastAsia="Calibri" w:hAnsi="Calibri" w:cs="Times New Roman"/>
          <w:lang w:val="en-US" w:eastAsia="en-US"/>
        </w:rPr>
        <w:t xml:space="preserve">empirical results </w:t>
      </w:r>
      <w:r w:rsidR="008162BD">
        <w:rPr>
          <w:rFonts w:ascii="Calibri" w:eastAsia="Calibri" w:hAnsi="Calibri" w:cs="Times New Roman"/>
          <w:lang w:val="en-US" w:eastAsia="en-US"/>
        </w:rPr>
        <w:t xml:space="preserve">from </w:t>
      </w:r>
      <w:r w:rsidRPr="007B5391">
        <w:rPr>
          <w:rFonts w:ascii="Calibri" w:eastAsia="Calibri" w:hAnsi="Calibri" w:cs="Times New Roman"/>
          <w:lang w:val="en-US" w:eastAsia="en-US"/>
        </w:rPr>
        <w:t>the indirect approach</w:t>
      </w:r>
      <w:r w:rsidR="008162BD">
        <w:rPr>
          <w:rFonts w:ascii="Calibri" w:eastAsia="Calibri" w:hAnsi="Calibri" w:cs="Times New Roman"/>
          <w:lang w:val="en-US" w:eastAsia="en-US"/>
        </w:rPr>
        <w:t xml:space="preserve">. </w:t>
      </w:r>
    </w:p>
    <w:p w:rsidR="00950B84" w:rsidRPr="007B5391" w:rsidRDefault="008162BD" w:rsidP="007B5391">
      <w:pPr>
        <w:spacing w:after="160" w:line="259" w:lineRule="auto"/>
        <w:jc w:val="both"/>
        <w:rPr>
          <w:rFonts w:ascii="Calibri" w:eastAsia="Calibri" w:hAnsi="Calibri" w:cs="Times New Roman"/>
          <w:lang w:val="en-US" w:eastAsia="en-US"/>
        </w:rPr>
      </w:pPr>
      <w:r>
        <w:rPr>
          <w:rFonts w:ascii="Calibri" w:eastAsia="Calibri" w:hAnsi="Calibri" w:cs="Times New Roman"/>
          <w:lang w:val="en-US" w:eastAsia="en-US"/>
        </w:rPr>
        <w:t>The first speaker</w:t>
      </w:r>
      <w:r w:rsidR="00950B84" w:rsidRPr="007B5391">
        <w:rPr>
          <w:rFonts w:ascii="Calibri" w:eastAsia="Calibri" w:hAnsi="Calibri" w:cs="Times New Roman"/>
          <w:lang w:val="en-US" w:eastAsia="en-US"/>
        </w:rPr>
        <w:t xml:space="preserve"> investigated </w:t>
      </w:r>
      <w:r w:rsidR="00C1469B" w:rsidRPr="007B5391">
        <w:rPr>
          <w:rFonts w:ascii="Calibri" w:eastAsia="Calibri" w:hAnsi="Calibri" w:cs="Times New Roman"/>
          <w:lang w:val="en-US" w:eastAsia="en-US"/>
        </w:rPr>
        <w:t xml:space="preserve">the competitiveness impact of </w:t>
      </w:r>
      <w:r w:rsidR="00F86F77" w:rsidRPr="007B5391">
        <w:rPr>
          <w:rFonts w:ascii="Calibri" w:eastAsia="Calibri" w:hAnsi="Calibri" w:cs="Times New Roman"/>
          <w:lang w:val="en-US" w:eastAsia="en-US"/>
        </w:rPr>
        <w:t xml:space="preserve">the </w:t>
      </w:r>
      <w:r w:rsidR="00C1469B" w:rsidRPr="007B5391">
        <w:rPr>
          <w:rFonts w:ascii="Calibri" w:eastAsia="Calibri" w:hAnsi="Calibri" w:cs="Times New Roman"/>
          <w:lang w:val="en-US" w:eastAsia="en-US"/>
        </w:rPr>
        <w:t>EU-ETS</w:t>
      </w:r>
      <w:r w:rsidR="00F86F77" w:rsidRPr="007B5391">
        <w:rPr>
          <w:rFonts w:ascii="Calibri" w:eastAsia="Calibri" w:hAnsi="Calibri" w:cs="Times New Roman"/>
          <w:lang w:val="en-US" w:eastAsia="en-US"/>
        </w:rPr>
        <w:t xml:space="preserve"> in France, </w:t>
      </w:r>
      <w:r w:rsidR="0078137B">
        <w:rPr>
          <w:rFonts w:ascii="Calibri" w:eastAsia="Calibri" w:hAnsi="Calibri" w:cs="Times New Roman"/>
          <w:lang w:val="en-US" w:eastAsia="en-US"/>
        </w:rPr>
        <w:t xml:space="preserve">the </w:t>
      </w:r>
      <w:r w:rsidR="00F86F77" w:rsidRPr="007B5391">
        <w:rPr>
          <w:rFonts w:ascii="Calibri" w:eastAsia="Calibri" w:hAnsi="Calibri" w:cs="Times New Roman"/>
          <w:lang w:val="en-US" w:eastAsia="en-US"/>
        </w:rPr>
        <w:t xml:space="preserve">UK, </w:t>
      </w:r>
      <w:r w:rsidR="0078137B">
        <w:rPr>
          <w:rFonts w:ascii="Calibri" w:eastAsia="Calibri" w:hAnsi="Calibri" w:cs="Times New Roman"/>
          <w:lang w:val="en-US" w:eastAsia="en-US"/>
        </w:rPr>
        <w:t xml:space="preserve">the </w:t>
      </w:r>
      <w:r w:rsidR="00F86F77" w:rsidRPr="007B5391">
        <w:rPr>
          <w:rFonts w:ascii="Calibri" w:eastAsia="Calibri" w:hAnsi="Calibri" w:cs="Times New Roman"/>
          <w:lang w:val="en-US" w:eastAsia="en-US"/>
        </w:rPr>
        <w:t>Netherland</w:t>
      </w:r>
      <w:r w:rsidR="007B5391">
        <w:rPr>
          <w:rFonts w:ascii="Calibri" w:eastAsia="Calibri" w:hAnsi="Calibri" w:cs="Times New Roman"/>
          <w:lang w:val="en-US" w:eastAsia="en-US"/>
        </w:rPr>
        <w:t>s</w:t>
      </w:r>
      <w:r w:rsidR="00F86F77" w:rsidRPr="007B5391">
        <w:rPr>
          <w:rFonts w:ascii="Calibri" w:eastAsia="Calibri" w:hAnsi="Calibri" w:cs="Times New Roman"/>
          <w:lang w:val="en-US" w:eastAsia="en-US"/>
        </w:rPr>
        <w:t>, and Norway</w:t>
      </w:r>
      <w:r w:rsidR="00950B84" w:rsidRPr="007B5391">
        <w:rPr>
          <w:rFonts w:ascii="Calibri" w:eastAsia="Calibri" w:hAnsi="Calibri" w:cs="Times New Roman"/>
          <w:lang w:val="en-US" w:eastAsia="en-US"/>
        </w:rPr>
        <w:t xml:space="preserve">. </w:t>
      </w:r>
      <w:r>
        <w:rPr>
          <w:rFonts w:ascii="Calibri" w:eastAsia="Calibri" w:hAnsi="Calibri" w:cs="Times New Roman"/>
          <w:lang w:val="en-US" w:eastAsia="en-US"/>
        </w:rPr>
        <w:t>They</w:t>
      </w:r>
      <w:r w:rsidR="00F86F77" w:rsidRPr="007B5391">
        <w:rPr>
          <w:rFonts w:ascii="Calibri" w:eastAsia="Calibri" w:hAnsi="Calibri" w:cs="Times New Roman"/>
          <w:lang w:val="en-US" w:eastAsia="en-US"/>
        </w:rPr>
        <w:t xml:space="preserve"> f</w:t>
      </w:r>
      <w:r>
        <w:rPr>
          <w:rFonts w:ascii="Calibri" w:eastAsia="Calibri" w:hAnsi="Calibri" w:cs="Times New Roman"/>
          <w:lang w:val="en-US" w:eastAsia="en-US"/>
        </w:rPr>
        <w:t>ound</w:t>
      </w:r>
      <w:r w:rsidR="00F86F77" w:rsidRPr="007B5391">
        <w:rPr>
          <w:rFonts w:ascii="Calibri" w:eastAsia="Calibri" w:hAnsi="Calibri" w:cs="Times New Roman"/>
          <w:lang w:val="en-US" w:eastAsia="en-US"/>
        </w:rPr>
        <w:t xml:space="preserve"> that there </w:t>
      </w:r>
      <w:r w:rsidR="000D5718" w:rsidRPr="007B5391">
        <w:rPr>
          <w:rFonts w:ascii="Calibri" w:eastAsia="Calibri" w:hAnsi="Calibri" w:cs="Times New Roman"/>
          <w:lang w:val="en-US" w:eastAsia="en-US"/>
        </w:rPr>
        <w:t>is</w:t>
      </w:r>
      <w:r w:rsidR="00F86F77" w:rsidRPr="007B5391">
        <w:rPr>
          <w:rFonts w:ascii="Calibri" w:eastAsia="Calibri" w:hAnsi="Calibri" w:cs="Times New Roman"/>
          <w:lang w:val="en-US" w:eastAsia="en-US"/>
        </w:rPr>
        <w:t xml:space="preserve"> no statistically significant effect on employment </w:t>
      </w:r>
      <w:r w:rsidR="00A02360" w:rsidRPr="007B5391">
        <w:rPr>
          <w:rFonts w:ascii="Calibri" w:eastAsia="Calibri" w:hAnsi="Calibri" w:cs="Times New Roman"/>
          <w:lang w:val="en-US" w:eastAsia="en-US"/>
        </w:rPr>
        <w:t>or</w:t>
      </w:r>
      <w:r w:rsidR="00F86F77" w:rsidRPr="007B5391">
        <w:rPr>
          <w:rFonts w:ascii="Calibri" w:eastAsia="Calibri" w:hAnsi="Calibri" w:cs="Times New Roman"/>
          <w:lang w:val="en-US" w:eastAsia="en-US"/>
        </w:rPr>
        <w:t xml:space="preserve"> profits while</w:t>
      </w:r>
      <w:r w:rsidR="00A02360" w:rsidRPr="007B5391">
        <w:rPr>
          <w:rFonts w:ascii="Calibri" w:eastAsia="Calibri" w:hAnsi="Calibri" w:cs="Times New Roman"/>
          <w:lang w:val="en-US" w:eastAsia="en-US"/>
        </w:rPr>
        <w:t xml:space="preserve"> the</w:t>
      </w:r>
      <w:r w:rsidR="00F86F77" w:rsidRPr="007B5391">
        <w:rPr>
          <w:rFonts w:ascii="Calibri" w:eastAsia="Calibri" w:hAnsi="Calibri" w:cs="Times New Roman"/>
          <w:lang w:val="en-US" w:eastAsia="en-US"/>
        </w:rPr>
        <w:t xml:space="preserve"> statistically significant positive effect on revenue and fixed assets. </w:t>
      </w:r>
      <w:r w:rsidR="000D5718" w:rsidRPr="007B5391">
        <w:rPr>
          <w:rFonts w:ascii="Calibri" w:eastAsia="Calibri" w:hAnsi="Calibri" w:cs="Times New Roman"/>
          <w:lang w:val="en-US" w:eastAsia="en-US"/>
        </w:rPr>
        <w:t>Just as</w:t>
      </w:r>
      <w:r w:rsidR="00F86F77" w:rsidRPr="007B5391">
        <w:rPr>
          <w:rFonts w:ascii="Calibri" w:eastAsia="Calibri" w:hAnsi="Calibri" w:cs="Times New Roman"/>
          <w:lang w:val="en-US" w:eastAsia="en-US"/>
        </w:rPr>
        <w:t xml:space="preserve"> </w:t>
      </w:r>
      <w:r>
        <w:rPr>
          <w:rFonts w:ascii="Calibri" w:eastAsia="Calibri" w:hAnsi="Calibri" w:cs="Times New Roman"/>
          <w:lang w:val="en-US" w:eastAsia="en-US"/>
        </w:rPr>
        <w:t>the speaker</w:t>
      </w:r>
      <w:r w:rsidR="00F86F77" w:rsidRPr="007B5391">
        <w:rPr>
          <w:rFonts w:ascii="Calibri" w:eastAsia="Calibri" w:hAnsi="Calibri" w:cs="Times New Roman"/>
          <w:lang w:val="en-US" w:eastAsia="en-US"/>
        </w:rPr>
        <w:t xml:space="preserve"> emphasized that it is difficult to disentangle why </w:t>
      </w:r>
      <w:r>
        <w:rPr>
          <w:rFonts w:ascii="Calibri" w:eastAsia="Calibri" w:hAnsi="Calibri" w:cs="Times New Roman"/>
          <w:lang w:val="en-US" w:eastAsia="en-US"/>
        </w:rPr>
        <w:t>t</w:t>
      </w:r>
      <w:r w:rsidR="00F86F77" w:rsidRPr="007B5391">
        <w:rPr>
          <w:rFonts w:ascii="Calibri" w:eastAsia="Calibri" w:hAnsi="Calibri" w:cs="Times New Roman"/>
          <w:lang w:val="en-US" w:eastAsia="en-US"/>
        </w:rPr>
        <w:t>he</w:t>
      </w:r>
      <w:r>
        <w:rPr>
          <w:rFonts w:ascii="Calibri" w:eastAsia="Calibri" w:hAnsi="Calibri" w:cs="Times New Roman"/>
          <w:lang w:val="en-US" w:eastAsia="en-US"/>
        </w:rPr>
        <w:t>y are</w:t>
      </w:r>
      <w:r w:rsidR="00F86F77" w:rsidRPr="007B5391">
        <w:rPr>
          <w:rFonts w:ascii="Calibri" w:eastAsia="Calibri" w:hAnsi="Calibri" w:cs="Times New Roman"/>
          <w:lang w:val="en-US" w:eastAsia="en-US"/>
        </w:rPr>
        <w:t xml:space="preserve"> getting the results </w:t>
      </w:r>
      <w:r>
        <w:rPr>
          <w:rFonts w:ascii="Calibri" w:eastAsia="Calibri" w:hAnsi="Calibri" w:cs="Times New Roman"/>
          <w:lang w:val="en-US" w:eastAsia="en-US"/>
        </w:rPr>
        <w:t xml:space="preserve">they </w:t>
      </w:r>
      <w:r w:rsidR="000D5718" w:rsidRPr="007B5391">
        <w:rPr>
          <w:rFonts w:ascii="Calibri" w:eastAsia="Calibri" w:hAnsi="Calibri" w:cs="Times New Roman"/>
          <w:lang w:val="en-US" w:eastAsia="en-US"/>
        </w:rPr>
        <w:t>ha</w:t>
      </w:r>
      <w:r>
        <w:rPr>
          <w:rFonts w:ascii="Calibri" w:eastAsia="Calibri" w:hAnsi="Calibri" w:cs="Times New Roman"/>
          <w:lang w:val="en-US" w:eastAsia="en-US"/>
        </w:rPr>
        <w:t>ve</w:t>
      </w:r>
      <w:r w:rsidR="000D5718" w:rsidRPr="007B5391">
        <w:rPr>
          <w:rFonts w:ascii="Calibri" w:eastAsia="Calibri" w:hAnsi="Calibri" w:cs="Times New Roman"/>
          <w:lang w:val="en-US" w:eastAsia="en-US"/>
        </w:rPr>
        <w:t>, it is difficult to understand how it is possible to have positive effects for all variables despite their statistical significances. If there are positive effects on employment and fixed assets, then it also must be that their operating costs have gone up as well. Yet, there is the (insignificant) positive effect</w:t>
      </w:r>
      <w:r w:rsidR="00F86F77" w:rsidRPr="007B5391">
        <w:rPr>
          <w:rFonts w:ascii="Calibri" w:eastAsia="Calibri" w:hAnsi="Calibri" w:cs="Times New Roman"/>
          <w:lang w:val="en-US" w:eastAsia="en-US"/>
        </w:rPr>
        <w:t xml:space="preserve"> </w:t>
      </w:r>
      <w:r w:rsidR="000D5718" w:rsidRPr="007B5391">
        <w:rPr>
          <w:rFonts w:ascii="Calibri" w:eastAsia="Calibri" w:hAnsi="Calibri" w:cs="Times New Roman"/>
          <w:lang w:val="en-US" w:eastAsia="en-US"/>
        </w:rPr>
        <w:t xml:space="preserve">on profits. This is only possible if firms are selling </w:t>
      </w:r>
      <w:r w:rsidR="00A02360" w:rsidRPr="007B5391">
        <w:rPr>
          <w:rFonts w:ascii="Calibri" w:eastAsia="Calibri" w:hAnsi="Calibri" w:cs="Times New Roman"/>
          <w:lang w:val="en-US" w:eastAsia="en-US"/>
        </w:rPr>
        <w:t xml:space="preserve">more </w:t>
      </w:r>
      <w:r w:rsidR="000D5718" w:rsidRPr="007B5391">
        <w:rPr>
          <w:rFonts w:ascii="Calibri" w:eastAsia="Calibri" w:hAnsi="Calibri" w:cs="Times New Roman"/>
          <w:lang w:val="en-US" w:eastAsia="en-US"/>
        </w:rPr>
        <w:t xml:space="preserve">so that their revenues are a lot larger than their operating costs. However, the size of the effects presented might not be consistent with such explanations. What is interesting about </w:t>
      </w:r>
      <w:r w:rsidR="0078137B">
        <w:rPr>
          <w:rFonts w:ascii="Calibri" w:eastAsia="Calibri" w:hAnsi="Calibri" w:cs="Times New Roman"/>
          <w:lang w:val="en-US" w:eastAsia="en-US"/>
        </w:rPr>
        <w:t>t</w:t>
      </w:r>
      <w:r w:rsidR="000D5718" w:rsidRPr="007B5391">
        <w:rPr>
          <w:rFonts w:ascii="Calibri" w:eastAsia="Calibri" w:hAnsi="Calibri" w:cs="Times New Roman"/>
          <w:lang w:val="en-US" w:eastAsia="en-US"/>
        </w:rPr>
        <w:t xml:space="preserve">his finding is that the results on employment differ from </w:t>
      </w:r>
      <w:r w:rsidR="00461D3F" w:rsidRPr="007B5391">
        <w:rPr>
          <w:rFonts w:ascii="Calibri" w:eastAsia="Calibri" w:hAnsi="Calibri" w:cs="Times New Roman"/>
          <w:lang w:val="en-US" w:eastAsia="en-US"/>
        </w:rPr>
        <w:t>Wagner et al (2014)</w:t>
      </w:r>
      <w:r w:rsidR="000D5718" w:rsidRPr="007B5391">
        <w:rPr>
          <w:rFonts w:ascii="Calibri" w:eastAsia="Calibri" w:hAnsi="Calibri" w:cs="Times New Roman"/>
          <w:lang w:val="en-US" w:eastAsia="en-US"/>
        </w:rPr>
        <w:t xml:space="preserve">. Wagner et al (2014) have examined the competitiveness effect of the EU-ETS for French manufacturing </w:t>
      </w:r>
      <w:r w:rsidR="009D2ABB" w:rsidRPr="007B5391">
        <w:rPr>
          <w:rFonts w:ascii="Calibri" w:eastAsia="Calibri" w:hAnsi="Calibri" w:cs="Times New Roman"/>
          <w:lang w:val="en-US" w:eastAsia="en-US"/>
        </w:rPr>
        <w:t>plants</w:t>
      </w:r>
      <w:r w:rsidR="000D5718" w:rsidRPr="007B5391">
        <w:rPr>
          <w:rFonts w:ascii="Calibri" w:eastAsia="Calibri" w:hAnsi="Calibri" w:cs="Times New Roman"/>
          <w:lang w:val="en-US" w:eastAsia="en-US"/>
        </w:rPr>
        <w:t xml:space="preserve"> and found </w:t>
      </w:r>
      <w:r w:rsidR="009D2ABB" w:rsidRPr="007B5391">
        <w:rPr>
          <w:rFonts w:ascii="Calibri" w:eastAsia="Calibri" w:hAnsi="Calibri" w:cs="Times New Roman"/>
          <w:lang w:val="en-US" w:eastAsia="en-US"/>
        </w:rPr>
        <w:t>statistically significant negative employment effect in Phase II.</w:t>
      </w:r>
      <w:r w:rsidR="00461D3F" w:rsidRPr="007B5391">
        <w:rPr>
          <w:rFonts w:ascii="Calibri" w:eastAsia="Calibri" w:hAnsi="Calibri" w:cs="Times New Roman"/>
          <w:lang w:val="en-US" w:eastAsia="en-US"/>
        </w:rPr>
        <w:t xml:space="preserve"> </w:t>
      </w:r>
      <w:r w:rsidR="009D2ABB" w:rsidRPr="007B5391">
        <w:rPr>
          <w:rFonts w:ascii="Calibri" w:eastAsia="Calibri" w:hAnsi="Calibri" w:cs="Times New Roman"/>
          <w:lang w:val="en-US" w:eastAsia="en-US"/>
        </w:rPr>
        <w:t xml:space="preserve">However, when they re-did their analysis at the firm-level, such negative effect became statistically insignificant. Although they both find that the employment effects are statistically insignificant at the firm-level, their point estimates have the opposite signs. </w:t>
      </w:r>
      <w:r>
        <w:rPr>
          <w:rFonts w:ascii="Calibri" w:eastAsia="Calibri" w:hAnsi="Calibri" w:cs="Times New Roman"/>
          <w:lang w:val="en-US" w:eastAsia="en-US"/>
        </w:rPr>
        <w:t>I</w:t>
      </w:r>
      <w:r w:rsidR="009D2ABB" w:rsidRPr="007B5391">
        <w:rPr>
          <w:rFonts w:ascii="Calibri" w:eastAsia="Calibri" w:hAnsi="Calibri" w:cs="Times New Roman"/>
          <w:lang w:val="en-US" w:eastAsia="en-US"/>
        </w:rPr>
        <w:t xml:space="preserve">t is difficult to compare the insignificant results, but what might be interesting from comparing these two papers is that one study examines the multiple countries together while the other focus only on one country. In addition, </w:t>
      </w:r>
      <w:r w:rsidR="00F86F77" w:rsidRPr="007B5391">
        <w:rPr>
          <w:rFonts w:ascii="Calibri" w:eastAsia="Calibri" w:hAnsi="Calibri" w:cs="Times New Roman"/>
          <w:lang w:val="en-US" w:eastAsia="en-US"/>
        </w:rPr>
        <w:t xml:space="preserve">Petrick and Wagner (2014) also looked the effect of the EU-ETS on </w:t>
      </w:r>
      <w:r w:rsidR="00226DDB" w:rsidRPr="007B5391">
        <w:rPr>
          <w:rFonts w:ascii="Calibri" w:eastAsia="Calibri" w:hAnsi="Calibri" w:cs="Times New Roman"/>
          <w:lang w:val="en-US" w:eastAsia="en-US"/>
        </w:rPr>
        <w:t xml:space="preserve">German </w:t>
      </w:r>
      <w:r w:rsidR="00F86F77" w:rsidRPr="007B5391">
        <w:rPr>
          <w:rFonts w:ascii="Calibri" w:eastAsia="Calibri" w:hAnsi="Calibri" w:cs="Times New Roman"/>
          <w:lang w:val="en-US" w:eastAsia="en-US"/>
        </w:rPr>
        <w:t xml:space="preserve">manufacturing </w:t>
      </w:r>
      <w:r w:rsidR="00226DDB" w:rsidRPr="007B5391">
        <w:rPr>
          <w:rFonts w:ascii="Calibri" w:eastAsia="Calibri" w:hAnsi="Calibri" w:cs="Times New Roman"/>
          <w:lang w:val="en-US" w:eastAsia="en-US"/>
        </w:rPr>
        <w:t>firms</w:t>
      </w:r>
      <w:r w:rsidR="00F86F77" w:rsidRPr="007B5391">
        <w:rPr>
          <w:rFonts w:ascii="Calibri" w:eastAsia="Calibri" w:hAnsi="Calibri" w:cs="Times New Roman"/>
          <w:lang w:val="en-US" w:eastAsia="en-US"/>
        </w:rPr>
        <w:t xml:space="preserve">. </w:t>
      </w:r>
      <w:r w:rsidR="009D2ABB" w:rsidRPr="007B5391">
        <w:rPr>
          <w:rFonts w:ascii="Calibri" w:eastAsia="Calibri" w:hAnsi="Calibri" w:cs="Times New Roman"/>
          <w:lang w:val="en-US" w:eastAsia="en-US"/>
        </w:rPr>
        <w:t xml:space="preserve">They find statistically </w:t>
      </w:r>
      <w:r w:rsidR="00226DDB" w:rsidRPr="007B5391">
        <w:rPr>
          <w:rFonts w:ascii="Calibri" w:eastAsia="Calibri" w:hAnsi="Calibri" w:cs="Times New Roman"/>
          <w:lang w:val="en-US" w:eastAsia="en-US"/>
        </w:rPr>
        <w:t>in</w:t>
      </w:r>
      <w:r w:rsidR="009D2ABB" w:rsidRPr="007B5391">
        <w:rPr>
          <w:rFonts w:ascii="Calibri" w:eastAsia="Calibri" w:hAnsi="Calibri" w:cs="Times New Roman"/>
          <w:lang w:val="en-US" w:eastAsia="en-US"/>
        </w:rPr>
        <w:t xml:space="preserve">significant </w:t>
      </w:r>
      <w:r w:rsidR="00226DDB" w:rsidRPr="007B5391">
        <w:rPr>
          <w:rFonts w:ascii="Calibri" w:eastAsia="Calibri" w:hAnsi="Calibri" w:cs="Times New Roman"/>
          <w:lang w:val="en-US" w:eastAsia="en-US"/>
        </w:rPr>
        <w:t xml:space="preserve">positive employment effect and statistically significant positive effects on gross output and export, which are relatively similar to the findings </w:t>
      </w:r>
      <w:r>
        <w:rPr>
          <w:rFonts w:ascii="Calibri" w:eastAsia="Calibri" w:hAnsi="Calibri" w:cs="Times New Roman"/>
          <w:lang w:val="en-US" w:eastAsia="en-US"/>
        </w:rPr>
        <w:t>presented by this speaker</w:t>
      </w:r>
      <w:r w:rsidR="00226DDB" w:rsidRPr="007B5391">
        <w:rPr>
          <w:rFonts w:ascii="Calibri" w:eastAsia="Calibri" w:hAnsi="Calibri" w:cs="Times New Roman"/>
          <w:lang w:val="en-US" w:eastAsia="en-US"/>
        </w:rPr>
        <w:t xml:space="preserve"> even though </w:t>
      </w:r>
      <w:r>
        <w:rPr>
          <w:rFonts w:ascii="Calibri" w:eastAsia="Calibri" w:hAnsi="Calibri" w:cs="Times New Roman"/>
          <w:lang w:val="en-US" w:eastAsia="en-US"/>
        </w:rPr>
        <w:t>t</w:t>
      </w:r>
      <w:r w:rsidR="00226DDB" w:rsidRPr="007B5391">
        <w:rPr>
          <w:rFonts w:ascii="Calibri" w:eastAsia="Calibri" w:hAnsi="Calibri" w:cs="Times New Roman"/>
          <w:lang w:val="en-US" w:eastAsia="en-US"/>
        </w:rPr>
        <w:t xml:space="preserve">his </w:t>
      </w:r>
      <w:r>
        <w:rPr>
          <w:rFonts w:ascii="Calibri" w:eastAsia="Calibri" w:hAnsi="Calibri" w:cs="Times New Roman"/>
          <w:lang w:val="en-US" w:eastAsia="en-US"/>
        </w:rPr>
        <w:t>work</w:t>
      </w:r>
      <w:r w:rsidR="00226DDB" w:rsidRPr="007B5391">
        <w:rPr>
          <w:rFonts w:ascii="Calibri" w:eastAsia="Calibri" w:hAnsi="Calibri" w:cs="Times New Roman"/>
          <w:lang w:val="en-US" w:eastAsia="en-US"/>
        </w:rPr>
        <w:t xml:space="preserve"> does not include Germany. Based on these papers</w:t>
      </w:r>
      <w:r>
        <w:rPr>
          <w:rFonts w:ascii="Calibri" w:eastAsia="Calibri" w:hAnsi="Calibri" w:cs="Times New Roman"/>
          <w:lang w:val="en-US" w:eastAsia="en-US"/>
        </w:rPr>
        <w:t xml:space="preserve">, </w:t>
      </w:r>
      <w:r w:rsidR="00226DDB" w:rsidRPr="007B5391">
        <w:rPr>
          <w:rFonts w:ascii="Calibri" w:eastAsia="Calibri" w:hAnsi="Calibri" w:cs="Times New Roman"/>
          <w:lang w:val="en-US" w:eastAsia="en-US"/>
        </w:rPr>
        <w:t xml:space="preserve">it seems that although the EU-ETS is the largest carbon pricing policy implemented in the world, it is difficult to investigate the competitiveness impact of the EU-ETS due to its coverage across multiple countries.  </w:t>
      </w:r>
    </w:p>
    <w:p w:rsidR="00E901CD" w:rsidRPr="007B5391" w:rsidRDefault="008162BD" w:rsidP="007B5391">
      <w:pPr>
        <w:spacing w:after="160" w:line="259" w:lineRule="auto"/>
        <w:jc w:val="both"/>
        <w:rPr>
          <w:rFonts w:ascii="Calibri" w:eastAsia="Calibri" w:hAnsi="Calibri" w:cs="Times New Roman"/>
          <w:lang w:val="en-US" w:eastAsia="en-US"/>
        </w:rPr>
      </w:pPr>
      <w:r>
        <w:rPr>
          <w:rFonts w:ascii="Calibri" w:eastAsia="Calibri" w:hAnsi="Calibri" w:cs="Times New Roman"/>
          <w:lang w:val="en-US" w:eastAsia="en-US"/>
        </w:rPr>
        <w:t xml:space="preserve">The remaining speakers </w:t>
      </w:r>
      <w:r w:rsidR="00E901CD" w:rsidRPr="007B5391">
        <w:rPr>
          <w:rFonts w:ascii="Calibri" w:eastAsia="Calibri" w:hAnsi="Calibri" w:cs="Times New Roman"/>
          <w:lang w:val="en-US" w:eastAsia="en-US"/>
        </w:rPr>
        <w:t xml:space="preserve">presented papers on the competitiveness impact of the increase (decrease) in energy price. </w:t>
      </w:r>
      <w:r>
        <w:rPr>
          <w:rFonts w:ascii="Calibri" w:eastAsia="Calibri" w:hAnsi="Calibri" w:cs="Times New Roman"/>
          <w:lang w:val="en-US" w:eastAsia="en-US"/>
        </w:rPr>
        <w:t xml:space="preserve">The </w:t>
      </w:r>
      <w:r w:rsidR="0078137B">
        <w:rPr>
          <w:rFonts w:ascii="Calibri" w:eastAsia="Calibri" w:hAnsi="Calibri" w:cs="Times New Roman"/>
          <w:lang w:val="en-US" w:eastAsia="en-US"/>
        </w:rPr>
        <w:t xml:space="preserve">second </w:t>
      </w:r>
      <w:r>
        <w:rPr>
          <w:rFonts w:ascii="Calibri" w:eastAsia="Calibri" w:hAnsi="Calibri" w:cs="Times New Roman"/>
          <w:lang w:val="en-US" w:eastAsia="en-US"/>
        </w:rPr>
        <w:t>speaker</w:t>
      </w:r>
      <w:r w:rsidR="00E901CD" w:rsidRPr="007B5391">
        <w:rPr>
          <w:rFonts w:ascii="Calibri" w:eastAsia="Calibri" w:hAnsi="Calibri" w:cs="Times New Roman"/>
          <w:lang w:val="en-US" w:eastAsia="en-US"/>
        </w:rPr>
        <w:t xml:space="preserve"> focused on the electricity price increased in Canadian manufacturing while </w:t>
      </w:r>
      <w:r w:rsidR="0078137B">
        <w:rPr>
          <w:rFonts w:ascii="Calibri" w:eastAsia="Calibri" w:hAnsi="Calibri" w:cs="Times New Roman"/>
          <w:lang w:val="en-US" w:eastAsia="en-US"/>
        </w:rPr>
        <w:t>the third</w:t>
      </w:r>
      <w:r w:rsidR="00E901CD" w:rsidRPr="007B5391">
        <w:rPr>
          <w:rFonts w:ascii="Calibri" w:eastAsia="Calibri" w:hAnsi="Calibri" w:cs="Times New Roman"/>
          <w:lang w:val="en-US" w:eastAsia="en-US"/>
        </w:rPr>
        <w:t xml:space="preserve"> focused on the </w:t>
      </w:r>
      <w:r w:rsidR="00341909" w:rsidRPr="007B5391">
        <w:rPr>
          <w:rFonts w:ascii="Calibri" w:eastAsia="Calibri" w:hAnsi="Calibri" w:cs="Times New Roman"/>
          <w:lang w:val="en-US" w:eastAsia="en-US"/>
        </w:rPr>
        <w:t xml:space="preserve">natural gas price decreased in the </w:t>
      </w:r>
      <w:r w:rsidR="00E901CD" w:rsidRPr="007B5391">
        <w:rPr>
          <w:rFonts w:ascii="Calibri" w:eastAsia="Calibri" w:hAnsi="Calibri" w:cs="Times New Roman"/>
          <w:lang w:val="en-US" w:eastAsia="en-US"/>
        </w:rPr>
        <w:t>US manufacturing.</w:t>
      </w:r>
      <w:r w:rsidR="00341909" w:rsidRPr="007B5391">
        <w:rPr>
          <w:rFonts w:ascii="Calibri" w:eastAsia="Calibri" w:hAnsi="Calibri" w:cs="Times New Roman"/>
          <w:lang w:val="en-US" w:eastAsia="en-US"/>
        </w:rPr>
        <w:t xml:space="preserve"> What is different from the direct approach is that they use the historical price data, instead of the actual policy intervention. </w:t>
      </w:r>
      <w:r>
        <w:rPr>
          <w:rFonts w:ascii="Calibri" w:eastAsia="Calibri" w:hAnsi="Calibri" w:cs="Times New Roman"/>
          <w:lang w:val="en-US" w:eastAsia="en-US"/>
        </w:rPr>
        <w:t xml:space="preserve">The </w:t>
      </w:r>
      <w:r w:rsidR="0078137B">
        <w:rPr>
          <w:rFonts w:ascii="Calibri" w:eastAsia="Calibri" w:hAnsi="Calibri" w:cs="Times New Roman"/>
          <w:lang w:val="en-US" w:eastAsia="en-US"/>
        </w:rPr>
        <w:t>second</w:t>
      </w:r>
      <w:r>
        <w:rPr>
          <w:rFonts w:ascii="Calibri" w:eastAsia="Calibri" w:hAnsi="Calibri" w:cs="Times New Roman"/>
          <w:lang w:val="en-US" w:eastAsia="en-US"/>
        </w:rPr>
        <w:t xml:space="preserve"> speaker found</w:t>
      </w:r>
      <w:r w:rsidR="00341909" w:rsidRPr="007B5391">
        <w:rPr>
          <w:rFonts w:ascii="Calibri" w:eastAsia="Calibri" w:hAnsi="Calibri" w:cs="Times New Roman"/>
          <w:lang w:val="en-US" w:eastAsia="en-US"/>
        </w:rPr>
        <w:t xml:space="preserve"> that the increase in the electricity price led to a decline in competitiveness while </w:t>
      </w:r>
      <w:r>
        <w:rPr>
          <w:rFonts w:ascii="Calibri" w:eastAsia="Calibri" w:hAnsi="Calibri" w:cs="Times New Roman"/>
          <w:lang w:val="en-US" w:eastAsia="en-US"/>
        </w:rPr>
        <w:lastRenderedPageBreak/>
        <w:t xml:space="preserve">the </w:t>
      </w:r>
      <w:r w:rsidR="0078137B">
        <w:rPr>
          <w:rFonts w:ascii="Calibri" w:eastAsia="Calibri" w:hAnsi="Calibri" w:cs="Times New Roman"/>
          <w:lang w:val="en-US" w:eastAsia="en-US"/>
        </w:rPr>
        <w:t>third</w:t>
      </w:r>
      <w:r>
        <w:rPr>
          <w:rFonts w:ascii="Calibri" w:eastAsia="Calibri" w:hAnsi="Calibri" w:cs="Times New Roman"/>
          <w:lang w:val="en-US" w:eastAsia="en-US"/>
        </w:rPr>
        <w:t xml:space="preserve"> found</w:t>
      </w:r>
      <w:r w:rsidR="00341909" w:rsidRPr="007B5391">
        <w:rPr>
          <w:rFonts w:ascii="Calibri" w:eastAsia="Calibri" w:hAnsi="Calibri" w:cs="Times New Roman"/>
          <w:lang w:val="en-US" w:eastAsia="en-US"/>
        </w:rPr>
        <w:t xml:space="preserve"> that the decrease in natural gas price lead</w:t>
      </w:r>
      <w:r w:rsidR="00A02360" w:rsidRPr="007B5391">
        <w:rPr>
          <w:rFonts w:ascii="Calibri" w:eastAsia="Calibri" w:hAnsi="Calibri" w:cs="Times New Roman"/>
          <w:lang w:val="en-US" w:eastAsia="en-US"/>
        </w:rPr>
        <w:t>s</w:t>
      </w:r>
      <w:r w:rsidR="00341909" w:rsidRPr="007B5391">
        <w:rPr>
          <w:rFonts w:ascii="Calibri" w:eastAsia="Calibri" w:hAnsi="Calibri" w:cs="Times New Roman"/>
          <w:lang w:val="en-US" w:eastAsia="en-US"/>
        </w:rPr>
        <w:t xml:space="preserve"> to a rise in employment. They both show that such effects are stronger for more energy-intensive plants. </w:t>
      </w:r>
    </w:p>
    <w:p w:rsidR="00950B84" w:rsidRPr="007B5391" w:rsidRDefault="00341909" w:rsidP="007B5391">
      <w:pPr>
        <w:spacing w:after="160" w:line="259" w:lineRule="auto"/>
        <w:jc w:val="both"/>
        <w:rPr>
          <w:rFonts w:ascii="Calibri" w:eastAsia="Calibri" w:hAnsi="Calibri" w:cs="Times New Roman"/>
          <w:lang w:val="en-US" w:eastAsia="en-US"/>
        </w:rPr>
      </w:pPr>
      <w:r w:rsidRPr="007B5391">
        <w:rPr>
          <w:rFonts w:ascii="Calibri" w:eastAsia="Calibri" w:hAnsi="Calibri" w:cs="Times New Roman"/>
          <w:lang w:val="en-US" w:eastAsia="en-US"/>
        </w:rPr>
        <w:t xml:space="preserve">Based on the evidence presented by </w:t>
      </w:r>
      <w:r w:rsidR="008162BD">
        <w:rPr>
          <w:rFonts w:ascii="Calibri" w:eastAsia="Calibri" w:hAnsi="Calibri" w:cs="Times New Roman"/>
          <w:lang w:val="en-US" w:eastAsia="en-US"/>
        </w:rPr>
        <w:t>these speakers, a</w:t>
      </w:r>
      <w:r w:rsidRPr="007B5391">
        <w:rPr>
          <w:rFonts w:ascii="Calibri" w:eastAsia="Calibri" w:hAnsi="Calibri" w:cs="Times New Roman"/>
          <w:lang w:val="en-US" w:eastAsia="en-US"/>
        </w:rPr>
        <w:t xml:space="preserve">long with the previous papers in the literature, it seems that changes in energy prices would likely affect competitiveness in </w:t>
      </w:r>
      <w:r w:rsidR="00A02360" w:rsidRPr="007B5391">
        <w:rPr>
          <w:rFonts w:ascii="Calibri" w:eastAsia="Calibri" w:hAnsi="Calibri" w:cs="Times New Roman"/>
          <w:lang w:val="en-US" w:eastAsia="en-US"/>
        </w:rPr>
        <w:t>an</w:t>
      </w:r>
      <w:r w:rsidRPr="007B5391">
        <w:rPr>
          <w:rFonts w:ascii="Calibri" w:eastAsia="Calibri" w:hAnsi="Calibri" w:cs="Times New Roman"/>
          <w:lang w:val="en-US" w:eastAsia="en-US"/>
        </w:rPr>
        <w:t xml:space="preserve"> expected way (i.e., negatively (positively) when the price goes </w:t>
      </w:r>
      <w:r w:rsidR="0078137B">
        <w:rPr>
          <w:rFonts w:ascii="Calibri" w:eastAsia="Calibri" w:hAnsi="Calibri" w:cs="Times New Roman"/>
          <w:lang w:val="en-US" w:eastAsia="en-US"/>
        </w:rPr>
        <w:t xml:space="preserve">up </w:t>
      </w:r>
      <w:r w:rsidRPr="007B5391">
        <w:rPr>
          <w:rFonts w:ascii="Calibri" w:eastAsia="Calibri" w:hAnsi="Calibri" w:cs="Times New Roman"/>
          <w:lang w:val="en-US" w:eastAsia="en-US"/>
        </w:rPr>
        <w:t>(down</w:t>
      </w:r>
      <w:r w:rsidR="004B1F51" w:rsidRPr="007B5391">
        <w:rPr>
          <w:rFonts w:ascii="Calibri" w:eastAsia="Calibri" w:hAnsi="Calibri" w:cs="Times New Roman"/>
          <w:lang w:val="en-US" w:eastAsia="en-US"/>
        </w:rPr>
        <w:t>)) when</w:t>
      </w:r>
      <w:r w:rsidRPr="007B5391">
        <w:rPr>
          <w:rFonts w:ascii="Calibri" w:eastAsia="Calibri" w:hAnsi="Calibri" w:cs="Times New Roman"/>
          <w:lang w:val="en-US" w:eastAsia="en-US"/>
        </w:rPr>
        <w:t xml:space="preserve"> studies use the historical energy price fluctuation</w:t>
      </w:r>
      <w:r w:rsidR="004B1F51" w:rsidRPr="007B5391">
        <w:rPr>
          <w:rFonts w:ascii="Calibri" w:eastAsia="Calibri" w:hAnsi="Calibri" w:cs="Times New Roman"/>
          <w:lang w:val="en-US" w:eastAsia="en-US"/>
        </w:rPr>
        <w:t>s as a proxy. On the other hand, when an actual policy is investigated, such as Yamazaki (2017), the evidence is still mixed. As pointed out during the discussion, this could be due to the fact that the actual policy often accompanies other reforms. For example, a carbon tax recycles its revenue back to the economy. Thus, it might be important to realize such differences between direct and indirect approaches when one is trying to interpret the results.</w:t>
      </w:r>
    </w:p>
    <w:p w:rsidR="00900FE6" w:rsidRPr="00900FE6" w:rsidRDefault="00900FE6" w:rsidP="00900FE6">
      <w:pPr>
        <w:pStyle w:val="ListParagraph"/>
        <w:keepNext/>
        <w:keepLines/>
        <w:numPr>
          <w:ilvl w:val="0"/>
          <w:numId w:val="2"/>
        </w:numPr>
        <w:spacing w:before="40" w:after="160" w:line="259" w:lineRule="auto"/>
        <w:outlineLvl w:val="1"/>
        <w:rPr>
          <w:rFonts w:ascii="Calibri Light" w:eastAsia="Times New Roman" w:hAnsi="Calibri Light" w:cs="Times New Roman"/>
          <w:color w:val="2E74B5"/>
          <w:sz w:val="26"/>
          <w:szCs w:val="26"/>
          <w:lang w:val="en-US" w:eastAsia="en-US"/>
        </w:rPr>
      </w:pPr>
      <w:r w:rsidRPr="00900FE6">
        <w:rPr>
          <w:rFonts w:ascii="Calibri Light" w:eastAsia="Times New Roman" w:hAnsi="Calibri Light" w:cs="Times New Roman"/>
          <w:color w:val="2E74B5"/>
          <w:sz w:val="26"/>
          <w:szCs w:val="26"/>
          <w:lang w:val="en-US" w:eastAsia="en-US"/>
        </w:rPr>
        <w:t>Research Questions Identified</w:t>
      </w:r>
    </w:p>
    <w:p w:rsidR="0020136B" w:rsidRPr="0020136B" w:rsidRDefault="008B10F7" w:rsidP="0020136B">
      <w:pPr>
        <w:spacing w:before="100" w:beforeAutospacing="1" w:after="100" w:afterAutospacing="1"/>
        <w:rPr>
          <w:rFonts w:eastAsia="Times New Roman" w:cstheme="minorHAnsi"/>
          <w:lang w:val="en-US" w:eastAsia="en-US"/>
        </w:rPr>
      </w:pPr>
      <w:r>
        <w:rPr>
          <w:rFonts w:eastAsia="Times New Roman" w:cstheme="minorHAnsi"/>
          <w:lang w:val="en-US" w:eastAsia="en-US"/>
        </w:rPr>
        <w:t xml:space="preserve">Some suggestions for future research include: </w:t>
      </w:r>
    </w:p>
    <w:p w:rsidR="006F24D3" w:rsidRPr="006F24D3" w:rsidRDefault="0078137B" w:rsidP="006F24D3">
      <w:pPr>
        <w:pStyle w:val="ListParagraph"/>
        <w:numPr>
          <w:ilvl w:val="0"/>
          <w:numId w:val="4"/>
        </w:numPr>
        <w:spacing w:before="100" w:beforeAutospacing="1" w:after="100" w:afterAutospacing="1"/>
        <w:jc w:val="both"/>
        <w:rPr>
          <w:rFonts w:eastAsia="Times New Roman" w:cstheme="minorHAnsi"/>
          <w:b/>
          <w:lang w:val="en-US" w:eastAsia="en-US"/>
        </w:rPr>
      </w:pPr>
      <w:r w:rsidRPr="008B10F7">
        <w:rPr>
          <w:rFonts w:eastAsia="Times New Roman" w:cstheme="minorHAnsi"/>
          <w:b/>
          <w:lang w:val="en-US" w:eastAsia="en-US"/>
        </w:rPr>
        <w:t>Wh</w:t>
      </w:r>
      <w:r>
        <w:rPr>
          <w:rFonts w:eastAsia="Times New Roman" w:cstheme="minorHAnsi"/>
          <w:b/>
          <w:lang w:val="en-US" w:eastAsia="en-US"/>
        </w:rPr>
        <w:t>at do we mean by “</w:t>
      </w:r>
      <w:r w:rsidRPr="008B10F7">
        <w:rPr>
          <w:rFonts w:eastAsia="Times New Roman" w:cstheme="minorHAnsi"/>
          <w:b/>
          <w:lang w:val="en-US" w:eastAsia="en-US"/>
        </w:rPr>
        <w:t xml:space="preserve">competitiveness”? </w:t>
      </w:r>
      <w:r w:rsidRPr="008B10F7">
        <w:rPr>
          <w:rFonts w:eastAsia="Times New Roman" w:cstheme="minorHAnsi"/>
          <w:lang w:val="en-US" w:eastAsia="en-US"/>
        </w:rPr>
        <w:t xml:space="preserve">While understanding the competitiveness impacts of an environmental regulation is important, </w:t>
      </w:r>
      <w:r w:rsidRPr="008B10F7">
        <w:rPr>
          <w:rFonts w:eastAsia="Times New Roman" w:cstheme="minorHAnsi"/>
          <w:b/>
          <w:lang w:val="en-US" w:eastAsia="en-US"/>
        </w:rPr>
        <w:t>we are still not sure what we mean by competitiveness.</w:t>
      </w:r>
      <w:r w:rsidRPr="008B10F7">
        <w:rPr>
          <w:rFonts w:eastAsia="Times New Roman" w:cstheme="minorHAnsi"/>
          <w:lang w:val="en-US" w:eastAsia="en-US"/>
        </w:rPr>
        <w:t xml:space="preserve"> This is because it is difficult to deliver a coherent and comprehensive message based on empirical findings using multiple metrics, such as output (revenue), employment, and export. </w:t>
      </w:r>
      <w:r w:rsidR="006F24D3">
        <w:t xml:space="preserve">Fundamentally, this </w:t>
      </w:r>
      <w:r w:rsidR="006F24D3">
        <w:t xml:space="preserve">"what" question </w:t>
      </w:r>
      <w:r w:rsidR="006F24D3">
        <w:t xml:space="preserve">seeks to </w:t>
      </w:r>
      <w:r w:rsidR="006F24D3">
        <w:t xml:space="preserve">address possible reasons why researchers can get different results when they look at different measures of competitiveness.  </w:t>
      </w:r>
    </w:p>
    <w:p w:rsidR="006F24D3" w:rsidRPr="006F24D3" w:rsidRDefault="006F24D3" w:rsidP="006F24D3">
      <w:pPr>
        <w:pStyle w:val="ListParagraph"/>
        <w:spacing w:before="100" w:beforeAutospacing="1" w:after="100" w:afterAutospacing="1"/>
        <w:ind w:left="360"/>
        <w:jc w:val="both"/>
        <w:rPr>
          <w:rFonts w:eastAsia="Times New Roman" w:cstheme="minorHAnsi"/>
          <w:lang w:val="en-US" w:eastAsia="en-US"/>
        </w:rPr>
      </w:pPr>
    </w:p>
    <w:p w:rsidR="0067698F" w:rsidRDefault="0078137B" w:rsidP="0067698F">
      <w:pPr>
        <w:pStyle w:val="ListParagraph"/>
        <w:numPr>
          <w:ilvl w:val="0"/>
          <w:numId w:val="4"/>
        </w:numPr>
        <w:spacing w:before="100" w:beforeAutospacing="1" w:after="100" w:afterAutospacing="1"/>
        <w:jc w:val="both"/>
        <w:rPr>
          <w:rFonts w:eastAsia="Times New Roman" w:cstheme="minorHAnsi"/>
          <w:lang w:val="en-US" w:eastAsia="en-US"/>
        </w:rPr>
      </w:pPr>
      <w:r>
        <w:rPr>
          <w:rFonts w:eastAsia="Times New Roman" w:cstheme="minorHAnsi"/>
          <w:b/>
          <w:lang w:val="en-US" w:eastAsia="en-US"/>
        </w:rPr>
        <w:t>Why do we see the impacts on competitiveness that we do? In other words, w</w:t>
      </w:r>
      <w:r w:rsidRPr="008B10F7">
        <w:rPr>
          <w:rFonts w:eastAsia="Times New Roman" w:cstheme="minorHAnsi"/>
          <w:b/>
          <w:lang w:val="en-US" w:eastAsia="en-US"/>
        </w:rPr>
        <w:t>hen we find a positive impact on one variable and a negative impact on the other, how do we interpret these results, especially when the results are counterintuitive or inconsistent?</w:t>
      </w:r>
      <w:r w:rsidRPr="008B10F7">
        <w:rPr>
          <w:rFonts w:eastAsia="Times New Roman" w:cstheme="minorHAnsi"/>
          <w:lang w:val="en-US" w:eastAsia="en-US"/>
        </w:rPr>
        <w:t xml:space="preserve"> Perhaps, we need a theory to guide us figure out why we look at output (revenue), employment, and export as the competitiveness measures. On the other hand, the literature on the employment effect of environmental regulations is well established. This literature is based on the clearer motivation, i.e., does an environmental regulation kill jobs? Thus, perhaps what we need for the “competitiveness” literature is to break down the competitiveness impacts into sub-pieces, instead of all together. </w:t>
      </w:r>
    </w:p>
    <w:p w:rsidR="0067698F" w:rsidRPr="0067698F" w:rsidRDefault="0067698F" w:rsidP="0067698F">
      <w:pPr>
        <w:pStyle w:val="ListParagraph"/>
        <w:jc w:val="both"/>
        <w:rPr>
          <w:rFonts w:eastAsia="Times New Roman" w:cstheme="minorHAnsi"/>
          <w:b/>
          <w:lang w:val="en-US" w:eastAsia="en-US"/>
        </w:rPr>
      </w:pPr>
    </w:p>
    <w:p w:rsidR="0067698F" w:rsidRPr="006F24D3" w:rsidRDefault="006F24D3" w:rsidP="00FF51D9">
      <w:pPr>
        <w:pStyle w:val="ListParagraph"/>
        <w:numPr>
          <w:ilvl w:val="0"/>
          <w:numId w:val="4"/>
        </w:numPr>
        <w:spacing w:before="100" w:beforeAutospacing="1" w:after="100" w:afterAutospacing="1"/>
        <w:jc w:val="both"/>
        <w:rPr>
          <w:rFonts w:eastAsia="Times New Roman" w:cstheme="minorHAnsi"/>
          <w:lang w:val="en-US" w:eastAsia="en-US"/>
        </w:rPr>
      </w:pPr>
      <w:r>
        <w:rPr>
          <w:rFonts w:eastAsia="Times New Roman" w:cstheme="minorHAnsi"/>
          <w:b/>
          <w:lang w:val="en-US" w:eastAsia="en-US"/>
        </w:rPr>
        <w:t>Further research into the “j</w:t>
      </w:r>
      <w:r w:rsidR="0067698F" w:rsidRPr="006F24D3">
        <w:rPr>
          <w:rFonts w:eastAsia="Times New Roman" w:cstheme="minorHAnsi"/>
          <w:b/>
          <w:lang w:val="en-US" w:eastAsia="en-US"/>
        </w:rPr>
        <w:t>ob shift” hypothesis:</w:t>
      </w:r>
      <w:r w:rsidR="0067698F" w:rsidRPr="006F24D3">
        <w:rPr>
          <w:rFonts w:eastAsia="Times New Roman" w:cstheme="minorHAnsi"/>
          <w:lang w:val="en-US" w:eastAsia="en-US"/>
        </w:rPr>
        <w:t xml:space="preserve"> Investigating this hypothesis further using other policies around the world might be interesting. </w:t>
      </w:r>
      <w:r w:rsidRPr="006F24D3">
        <w:rPr>
          <w:rFonts w:eastAsia="Times New Roman" w:cstheme="minorHAnsi"/>
          <w:lang w:val="en-US" w:eastAsia="en-US"/>
        </w:rPr>
        <w:t xml:space="preserve">This “job shift” hypothesis ties back to the previous research question, looking at the “why” of competitiveness. This </w:t>
      </w:r>
      <w:r>
        <w:t>"why" question is about the costs of regulation and identifying possible losers, which has often focused on employment effects, with lost jobs being used as a political argument to oppose regulation.  There are two counterarguments to this focus on lost jobs - one is that we should be comparing the benefits from the regulation with the costs (the regulation could be worth doing even if it has some costs) - the other is that there may be some winners as well as losers (look for other sectors that are gaining from the regulation).  Th</w:t>
      </w:r>
      <w:r>
        <w:t>is</w:t>
      </w:r>
      <w:r>
        <w:t xml:space="preserve"> winners/losers idea ties in with the "job shift" hypothesis, with the complication that some macroeconomic models take the long-run view that there is no involuntary unemployment - which defines away the problem of job loss (everyone eventually finds something to do).</w:t>
      </w:r>
      <w:r>
        <w:br/>
      </w:r>
    </w:p>
    <w:p w:rsidR="006F24D3" w:rsidRPr="006F24D3" w:rsidRDefault="0067698F" w:rsidP="0067698F">
      <w:pPr>
        <w:pStyle w:val="ListParagraph"/>
        <w:numPr>
          <w:ilvl w:val="0"/>
          <w:numId w:val="4"/>
        </w:numPr>
        <w:spacing w:before="100" w:beforeAutospacing="1" w:after="100" w:afterAutospacing="1"/>
        <w:jc w:val="both"/>
        <w:rPr>
          <w:rFonts w:eastAsia="Times New Roman" w:cstheme="minorHAnsi"/>
          <w:lang w:val="en-US" w:eastAsia="en-US"/>
        </w:rPr>
      </w:pPr>
      <w:r w:rsidRPr="008B10F7">
        <w:rPr>
          <w:rFonts w:eastAsia="Times New Roman" w:cstheme="minorHAnsi"/>
          <w:b/>
          <w:lang w:val="en-US" w:eastAsia="en-US"/>
        </w:rPr>
        <w:t xml:space="preserve">Alternative measure for investigating the competitiveness impact: </w:t>
      </w:r>
      <w:r w:rsidRPr="0020136B">
        <w:rPr>
          <w:rFonts w:eastAsia="Times New Roman" w:cstheme="minorHAnsi"/>
          <w:lang w:val="en-US" w:eastAsia="en-US"/>
        </w:rPr>
        <w:t xml:space="preserve">An alternative approach to look at the competitiveness effect of the environmental regulation is to focus on the productivity impact, such as Greenstone et al (2012). </w:t>
      </w:r>
      <w:bookmarkStart w:id="0" w:name="_GoBack"/>
      <w:bookmarkEnd w:id="0"/>
      <w:r w:rsidR="006F24D3">
        <w:t xml:space="preserve">While these </w:t>
      </w:r>
      <w:r w:rsidR="00764EAC">
        <w:t xml:space="preserve">productivity impacts are a good way to think about real </w:t>
      </w:r>
      <w:r w:rsidR="00764EAC">
        <w:lastRenderedPageBreak/>
        <w:t>competitiveness concerns, especially if we can measure total factor productivity accounting for all inputs</w:t>
      </w:r>
      <w:r w:rsidR="006F24D3">
        <w:t xml:space="preserve">, a </w:t>
      </w:r>
      <w:r w:rsidR="00764EAC">
        <w:t xml:space="preserve">concern with most </w:t>
      </w:r>
      <w:r w:rsidR="006F24D3">
        <w:t xml:space="preserve">such </w:t>
      </w:r>
      <w:r w:rsidR="00764EAC">
        <w:t>analyses (</w:t>
      </w:r>
      <w:r w:rsidR="006F24D3">
        <w:t xml:space="preserve">including </w:t>
      </w:r>
      <w:r w:rsidR="00764EAC">
        <w:t>Greenstone</w:t>
      </w:r>
      <w:r w:rsidR="006F24D3">
        <w:t xml:space="preserve"> et al, 2012</w:t>
      </w:r>
      <w:r w:rsidR="00764EAC">
        <w:t>) is that they rely on comparing a treated group of regulated plants with a control group of unregulated plants</w:t>
      </w:r>
      <w:r w:rsidR="006F24D3">
        <w:t>. B</w:t>
      </w:r>
      <w:r w:rsidR="00764EAC">
        <w:t>ut if the "control" group includes some winners from regulation (either in terms of different geographic areas that face less regulation or industries that benefit from regulation) then the analysis could overstate the negative impacts.</w:t>
      </w:r>
    </w:p>
    <w:p w:rsidR="0078137B" w:rsidRPr="0067698F" w:rsidRDefault="00764EAC" w:rsidP="0067698F">
      <w:pPr>
        <w:spacing w:before="100" w:beforeAutospacing="1" w:after="100" w:afterAutospacing="1"/>
        <w:jc w:val="both"/>
        <w:rPr>
          <w:rFonts w:eastAsia="Times New Roman" w:cstheme="minorHAnsi"/>
          <w:b/>
          <w:lang w:val="en-US" w:eastAsia="en-US"/>
        </w:rPr>
      </w:pPr>
      <w:r>
        <w:br/>
      </w:r>
    </w:p>
    <w:sectPr w:rsidR="0078137B" w:rsidRPr="006769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F6" w:rsidRDefault="00D57AF6" w:rsidP="00470EC9">
      <w:r>
        <w:separator/>
      </w:r>
    </w:p>
  </w:endnote>
  <w:endnote w:type="continuationSeparator" w:id="0">
    <w:p w:rsidR="00D57AF6" w:rsidRDefault="00D57AF6" w:rsidP="0047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F6" w:rsidRDefault="00D57AF6" w:rsidP="00470EC9">
      <w:r>
        <w:separator/>
      </w:r>
    </w:p>
  </w:footnote>
  <w:footnote w:type="continuationSeparator" w:id="0">
    <w:p w:rsidR="00D57AF6" w:rsidRDefault="00D57AF6" w:rsidP="00470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CF9"/>
    <w:multiLevelType w:val="hybridMultilevel"/>
    <w:tmpl w:val="E7F67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456483"/>
    <w:multiLevelType w:val="hybridMultilevel"/>
    <w:tmpl w:val="005047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5511BB"/>
    <w:multiLevelType w:val="hybridMultilevel"/>
    <w:tmpl w:val="36C4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3D3CA9"/>
    <w:multiLevelType w:val="hybridMultilevel"/>
    <w:tmpl w:val="36C4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NTA0MTKxNLA0MTBW0lEKTi0uzszPAykwrgUAyMDiBCwAAAA="/>
  </w:docVars>
  <w:rsids>
    <w:rsidRoot w:val="001C4C1E"/>
    <w:rsid w:val="000D5718"/>
    <w:rsid w:val="00123007"/>
    <w:rsid w:val="00172494"/>
    <w:rsid w:val="001C4C1E"/>
    <w:rsid w:val="0020136B"/>
    <w:rsid w:val="00226DDB"/>
    <w:rsid w:val="0029374F"/>
    <w:rsid w:val="002C3AC6"/>
    <w:rsid w:val="002D5B7F"/>
    <w:rsid w:val="00341909"/>
    <w:rsid w:val="003B1225"/>
    <w:rsid w:val="003C5D68"/>
    <w:rsid w:val="004038A2"/>
    <w:rsid w:val="00414B7F"/>
    <w:rsid w:val="00461D3F"/>
    <w:rsid w:val="00470EC9"/>
    <w:rsid w:val="004B1F51"/>
    <w:rsid w:val="006767A9"/>
    <w:rsid w:val="0067698F"/>
    <w:rsid w:val="006F24D3"/>
    <w:rsid w:val="00721030"/>
    <w:rsid w:val="00735EAC"/>
    <w:rsid w:val="00764EAC"/>
    <w:rsid w:val="0078137B"/>
    <w:rsid w:val="007B168A"/>
    <w:rsid w:val="007B5391"/>
    <w:rsid w:val="007D30FF"/>
    <w:rsid w:val="008162BD"/>
    <w:rsid w:val="00831D76"/>
    <w:rsid w:val="008708E5"/>
    <w:rsid w:val="008B10F7"/>
    <w:rsid w:val="008E4786"/>
    <w:rsid w:val="008F1673"/>
    <w:rsid w:val="00900FE6"/>
    <w:rsid w:val="00950B84"/>
    <w:rsid w:val="009D2ABB"/>
    <w:rsid w:val="00A02360"/>
    <w:rsid w:val="00AD3ADD"/>
    <w:rsid w:val="00BE0F56"/>
    <w:rsid w:val="00C1469B"/>
    <w:rsid w:val="00CA5F7E"/>
    <w:rsid w:val="00CE3AB1"/>
    <w:rsid w:val="00D2026C"/>
    <w:rsid w:val="00D57AF6"/>
    <w:rsid w:val="00DA3F72"/>
    <w:rsid w:val="00E35BB2"/>
    <w:rsid w:val="00E901CD"/>
    <w:rsid w:val="00F4658E"/>
    <w:rsid w:val="00F86F77"/>
    <w:rsid w:val="00FF70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729408-4243-4007-8CDA-0B85F198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167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
    <w:unhideWhenUsed/>
    <w:qFormat/>
    <w:rsid w:val="008F1673"/>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C1E"/>
    <w:rPr>
      <w:rFonts w:ascii="Calibri" w:hAnsi="Calibri" w:cs="Calibri"/>
    </w:rPr>
  </w:style>
  <w:style w:type="paragraph" w:styleId="Header">
    <w:name w:val="header"/>
    <w:basedOn w:val="Normal"/>
    <w:link w:val="HeaderChar"/>
    <w:uiPriority w:val="99"/>
    <w:unhideWhenUsed/>
    <w:rsid w:val="00470EC9"/>
    <w:pPr>
      <w:tabs>
        <w:tab w:val="center" w:pos="4680"/>
        <w:tab w:val="right" w:pos="9360"/>
      </w:tabs>
    </w:pPr>
  </w:style>
  <w:style w:type="character" w:customStyle="1" w:styleId="HeaderChar">
    <w:name w:val="Header Char"/>
    <w:basedOn w:val="DefaultParagraphFont"/>
    <w:link w:val="Header"/>
    <w:uiPriority w:val="99"/>
    <w:rsid w:val="00470EC9"/>
  </w:style>
  <w:style w:type="paragraph" w:styleId="Footer">
    <w:name w:val="footer"/>
    <w:basedOn w:val="Normal"/>
    <w:link w:val="FooterChar"/>
    <w:uiPriority w:val="99"/>
    <w:unhideWhenUsed/>
    <w:rsid w:val="00470EC9"/>
    <w:pPr>
      <w:tabs>
        <w:tab w:val="center" w:pos="4680"/>
        <w:tab w:val="right" w:pos="9360"/>
      </w:tabs>
    </w:pPr>
  </w:style>
  <w:style w:type="character" w:customStyle="1" w:styleId="FooterChar">
    <w:name w:val="Footer Char"/>
    <w:basedOn w:val="DefaultParagraphFont"/>
    <w:link w:val="Footer"/>
    <w:uiPriority w:val="99"/>
    <w:rsid w:val="00470EC9"/>
  </w:style>
  <w:style w:type="character" w:customStyle="1" w:styleId="Heading1Char">
    <w:name w:val="Heading 1 Char"/>
    <w:basedOn w:val="DefaultParagraphFont"/>
    <w:link w:val="Heading1"/>
    <w:uiPriority w:val="9"/>
    <w:rsid w:val="008F1673"/>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8F1673"/>
    <w:rPr>
      <w:rFonts w:asciiTheme="majorHAnsi" w:eastAsiaTheme="majorEastAsia" w:hAnsiTheme="majorHAnsi" w:cstheme="majorBidi"/>
      <w:color w:val="365F91" w:themeColor="accent1" w:themeShade="BF"/>
      <w:sz w:val="26"/>
      <w:szCs w:val="26"/>
      <w:lang w:val="en-US" w:eastAsia="en-US"/>
    </w:rPr>
  </w:style>
  <w:style w:type="table" w:styleId="TableGrid">
    <w:name w:val="Table Grid"/>
    <w:basedOn w:val="TableNormal"/>
    <w:uiPriority w:val="39"/>
    <w:rsid w:val="008F1673"/>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1673"/>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88912">
      <w:bodyDiv w:val="1"/>
      <w:marLeft w:val="0"/>
      <w:marRight w:val="0"/>
      <w:marTop w:val="0"/>
      <w:marBottom w:val="0"/>
      <w:divBdr>
        <w:top w:val="none" w:sz="0" w:space="0" w:color="auto"/>
        <w:left w:val="none" w:sz="0" w:space="0" w:color="auto"/>
        <w:bottom w:val="none" w:sz="0" w:space="0" w:color="auto"/>
        <w:right w:val="none" w:sz="0" w:space="0" w:color="auto"/>
      </w:divBdr>
    </w:div>
    <w:div w:id="1763259035">
      <w:bodyDiv w:val="1"/>
      <w:marLeft w:val="0"/>
      <w:marRight w:val="0"/>
      <w:marTop w:val="0"/>
      <w:marBottom w:val="0"/>
      <w:divBdr>
        <w:top w:val="none" w:sz="0" w:space="0" w:color="auto"/>
        <w:left w:val="none" w:sz="0" w:space="0" w:color="auto"/>
        <w:bottom w:val="none" w:sz="0" w:space="0" w:color="auto"/>
        <w:right w:val="none" w:sz="0" w:space="0" w:color="auto"/>
      </w:divBdr>
    </w:div>
    <w:div w:id="1763574064">
      <w:bodyDiv w:val="1"/>
      <w:marLeft w:val="0"/>
      <w:marRight w:val="0"/>
      <w:marTop w:val="0"/>
      <w:marBottom w:val="0"/>
      <w:divBdr>
        <w:top w:val="none" w:sz="0" w:space="0" w:color="auto"/>
        <w:left w:val="none" w:sz="0" w:space="0" w:color="auto"/>
        <w:bottom w:val="none" w:sz="0" w:space="0" w:color="auto"/>
        <w:right w:val="none" w:sz="0" w:space="0" w:color="auto"/>
      </w:divBdr>
    </w:div>
    <w:div w:id="17831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3</Pages>
  <Words>1178</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 Yamazaki</dc:creator>
  <cp:keywords/>
  <dc:description/>
  <cp:lastModifiedBy>Kim Smet</cp:lastModifiedBy>
  <cp:revision>21</cp:revision>
  <dcterms:created xsi:type="dcterms:W3CDTF">2018-03-08T02:35:00Z</dcterms:created>
  <dcterms:modified xsi:type="dcterms:W3CDTF">2018-04-05T21:15:00Z</dcterms:modified>
</cp:coreProperties>
</file>